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68" w:rsidRDefault="006F5A5F" w:rsidP="00424440">
      <w:pPr>
        <w:jc w:val="center"/>
        <w:rPr>
          <w:sz w:val="24"/>
          <w:szCs w:val="24"/>
        </w:rPr>
      </w:pPr>
      <w:r w:rsidRPr="00DB43EE">
        <w:rPr>
          <w:rFonts w:ascii="Calibri" w:eastAsia="Calibri" w:hAnsi="Calibri" w:cs="Times New Roman"/>
          <w:b/>
          <w:noProof/>
          <w:lang w:eastAsia="es-CO"/>
        </w:rPr>
        <w:drawing>
          <wp:inline distT="0" distB="0" distL="0" distR="0" wp14:anchorId="7A91BB12" wp14:editId="43C28AAA">
            <wp:extent cx="1446904" cy="823853"/>
            <wp:effectExtent l="0" t="0" r="1270" b="0"/>
            <wp:docPr id="1" name="Imagen 1" descr="C:\Users\mvasquez\AppData\Local\Temp\$$_FE6E\Logo aplicación exclusiva fondo bla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vasquez\AppData\Local\Temp\$$_FE6E\Logo aplicación exclusiva fondo blanc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610" cy="83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0E0" w:rsidRDefault="007750E0" w:rsidP="00DA308F">
      <w:pPr>
        <w:spacing w:after="0"/>
        <w:jc w:val="center"/>
        <w:rPr>
          <w:sz w:val="24"/>
          <w:szCs w:val="24"/>
        </w:rPr>
      </w:pPr>
    </w:p>
    <w:p w:rsidR="00A40560" w:rsidRDefault="00A40560" w:rsidP="00DA308F">
      <w:pPr>
        <w:spacing w:after="0"/>
        <w:jc w:val="center"/>
        <w:rPr>
          <w:sz w:val="24"/>
          <w:szCs w:val="24"/>
        </w:rPr>
      </w:pPr>
    </w:p>
    <w:p w:rsidR="00B2451C" w:rsidRDefault="00B2451C" w:rsidP="00DA308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VICERRECTORÍA ACADÉMICA</w:t>
      </w:r>
    </w:p>
    <w:p w:rsidR="00C50768" w:rsidRPr="00A40560" w:rsidRDefault="003F1FAD" w:rsidP="00DA308F">
      <w:pPr>
        <w:spacing w:after="0" w:line="240" w:lineRule="auto"/>
        <w:jc w:val="center"/>
        <w:rPr>
          <w:b/>
          <w:sz w:val="24"/>
          <w:szCs w:val="24"/>
        </w:rPr>
      </w:pPr>
      <w:r w:rsidRPr="00A40560">
        <w:rPr>
          <w:b/>
          <w:sz w:val="24"/>
          <w:szCs w:val="24"/>
        </w:rPr>
        <w:t>DIRECCIÓ</w:t>
      </w:r>
      <w:r w:rsidR="00C50768" w:rsidRPr="00A40560">
        <w:rPr>
          <w:b/>
          <w:sz w:val="24"/>
          <w:szCs w:val="24"/>
        </w:rPr>
        <w:t>N DE INVESTIGACIONES Y DESARROLLO TECNOLÓGICO</w:t>
      </w:r>
    </w:p>
    <w:p w:rsidR="006E23B6" w:rsidRDefault="006E23B6" w:rsidP="00DA308F">
      <w:pPr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 w:rsidRPr="00F95963">
        <w:rPr>
          <w:rFonts w:cs="Calibri,Bold"/>
          <w:b/>
          <w:bCs/>
          <w:sz w:val="24"/>
          <w:szCs w:val="24"/>
        </w:rPr>
        <w:t>REGLAMENTO OPERATIVO DE</w:t>
      </w:r>
      <w:r w:rsidR="00B07C92">
        <w:rPr>
          <w:rFonts w:cs="Calibri,Bold"/>
          <w:b/>
          <w:bCs/>
          <w:sz w:val="24"/>
          <w:szCs w:val="24"/>
        </w:rPr>
        <w:t xml:space="preserve"> </w:t>
      </w:r>
      <w:r w:rsidRPr="00F95963">
        <w:rPr>
          <w:rFonts w:cs="Calibri,Bold"/>
          <w:b/>
          <w:bCs/>
          <w:sz w:val="24"/>
          <w:szCs w:val="24"/>
        </w:rPr>
        <w:t>SEMILLEROS</w:t>
      </w:r>
      <w:r w:rsidR="00A40560">
        <w:rPr>
          <w:rFonts w:cs="Calibri,Bold"/>
          <w:b/>
          <w:bCs/>
          <w:sz w:val="24"/>
          <w:szCs w:val="24"/>
        </w:rPr>
        <w:t xml:space="preserve"> DE INVESTIGACIÓN</w:t>
      </w:r>
    </w:p>
    <w:p w:rsidR="00B2451C" w:rsidRPr="00F95963" w:rsidRDefault="00B2451C" w:rsidP="00DA308F">
      <w:pPr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D64911" w:rsidRDefault="00D64911" w:rsidP="00D64911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4"/>
          <w:szCs w:val="24"/>
        </w:rPr>
      </w:pPr>
    </w:p>
    <w:p w:rsidR="006E5FBE" w:rsidRDefault="002E69FA" w:rsidP="00D64911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b/>
          <w:sz w:val="20"/>
          <w:szCs w:val="20"/>
          <w:lang w:val="es-ES" w:eastAsia="es-ES"/>
        </w:rPr>
        <w:t>PROCEDIMIENTO PARA LA EJECUCIÓ</w:t>
      </w:r>
      <w:r w:rsidR="00D64911" w:rsidRPr="00D64911">
        <w:rPr>
          <w:rFonts w:ascii="Tahoma" w:eastAsia="Times New Roman" w:hAnsi="Tahoma" w:cs="Tahoma"/>
          <w:b/>
          <w:sz w:val="20"/>
          <w:szCs w:val="20"/>
          <w:lang w:val="es-ES" w:eastAsia="es-ES"/>
        </w:rPr>
        <w:t>N PRESUPUESTAL DE LOS PLANES DE TRABAJO DE LOS SEMILLEROS DE INVESTIGACIÓN</w:t>
      </w:r>
      <w:r w:rsidR="006E5FBE">
        <w:rPr>
          <w:rFonts w:ascii="Tahoma" w:eastAsia="Times New Roman" w:hAnsi="Tahoma" w:cs="Tahoma"/>
          <w:b/>
          <w:sz w:val="20"/>
          <w:szCs w:val="20"/>
          <w:lang w:val="es-ES" w:eastAsia="es-ES"/>
        </w:rPr>
        <w:t xml:space="preserve">-  </w:t>
      </w:r>
      <w:r w:rsidR="006E5FBE">
        <w:rPr>
          <w:rFonts w:ascii="Tahoma" w:eastAsia="Times New Roman" w:hAnsi="Tahoma" w:cs="Tahoma"/>
          <w:b/>
          <w:sz w:val="20"/>
          <w:szCs w:val="20"/>
          <w:lang w:val="es-ES" w:eastAsia="es-ES"/>
        </w:rPr>
        <w:t>2019</w:t>
      </w:r>
    </w:p>
    <w:p w:rsidR="00D64911" w:rsidRPr="00D64911" w:rsidRDefault="00D64911" w:rsidP="00D64911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:rsidR="00D64911" w:rsidRPr="00D64911" w:rsidRDefault="00D64911" w:rsidP="00D64911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:rsidR="00D64911" w:rsidRPr="00D64911" w:rsidRDefault="00D64911" w:rsidP="00D64911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64911">
        <w:rPr>
          <w:rFonts w:ascii="Tahoma" w:eastAsia="Times New Roman" w:hAnsi="Tahoma" w:cs="Tahoma"/>
          <w:sz w:val="20"/>
          <w:szCs w:val="20"/>
          <w:lang w:val="es-ES" w:eastAsia="es-ES"/>
        </w:rPr>
        <w:t>Toda solicitud debe ser presentada por escrito y dirigida a la Direc</w:t>
      </w:r>
      <w:r w:rsidR="00A128CD">
        <w:rPr>
          <w:rFonts w:ascii="Tahoma" w:eastAsia="Times New Roman" w:hAnsi="Tahoma" w:cs="Tahoma"/>
          <w:sz w:val="20"/>
          <w:szCs w:val="20"/>
          <w:lang w:val="es-ES" w:eastAsia="es-ES"/>
        </w:rPr>
        <w:t>ción</w:t>
      </w:r>
      <w:r w:rsidRPr="00D6491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 Investigaciones y Desarrollo Tecnológico </w:t>
      </w:r>
      <w:r w:rsidR="00A40560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(DIDT) </w:t>
      </w:r>
      <w:r w:rsidRPr="00D6491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por parte del </w:t>
      </w:r>
      <w:r w:rsidR="002E69FA">
        <w:rPr>
          <w:rFonts w:ascii="Tahoma" w:eastAsia="Times New Roman" w:hAnsi="Tahoma" w:cs="Tahoma"/>
          <w:sz w:val="20"/>
          <w:szCs w:val="20"/>
          <w:lang w:val="es-ES" w:eastAsia="es-ES"/>
        </w:rPr>
        <w:t>d</w:t>
      </w:r>
      <w:r w:rsidRPr="00D6491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ocente </w:t>
      </w:r>
      <w:r w:rsidR="002E69FA">
        <w:rPr>
          <w:rFonts w:ascii="Tahoma" w:eastAsia="Times New Roman" w:hAnsi="Tahoma" w:cs="Tahoma"/>
          <w:sz w:val="20"/>
          <w:szCs w:val="20"/>
          <w:lang w:val="es-ES" w:eastAsia="es-ES"/>
        </w:rPr>
        <w:t>o</w:t>
      </w:r>
      <w:r w:rsidRPr="00D64911">
        <w:rPr>
          <w:rFonts w:ascii="Tahoma" w:eastAsia="Times New Roman" w:hAnsi="Tahoma" w:cs="Tahoma"/>
          <w:sz w:val="20"/>
          <w:szCs w:val="20"/>
          <w:lang w:val="es-ES" w:eastAsia="es-ES"/>
        </w:rPr>
        <w:t>rientador</w:t>
      </w:r>
      <w:r w:rsidR="00A40560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del Semillero de investigación</w:t>
      </w:r>
      <w:r w:rsidRPr="00D64911">
        <w:rPr>
          <w:rFonts w:ascii="Tahoma" w:eastAsia="Times New Roman" w:hAnsi="Tahoma" w:cs="Tahoma"/>
          <w:sz w:val="20"/>
          <w:szCs w:val="20"/>
          <w:lang w:val="es-ES" w:eastAsia="es-ES"/>
        </w:rPr>
        <w:t>.</w:t>
      </w:r>
    </w:p>
    <w:p w:rsidR="00DE500E" w:rsidRPr="00DE500E" w:rsidRDefault="00D64911" w:rsidP="007667B9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E500E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La Oficina de Fomento y Apoyo </w:t>
      </w:r>
      <w:r w:rsidR="002E69FA" w:rsidRPr="00DE500E">
        <w:rPr>
          <w:rFonts w:ascii="Tahoma" w:eastAsia="Times New Roman" w:hAnsi="Tahoma" w:cs="Tahoma"/>
          <w:sz w:val="20"/>
          <w:szCs w:val="20"/>
          <w:lang w:val="es-ES" w:eastAsia="es-ES"/>
        </w:rPr>
        <w:t>a la Investigación</w:t>
      </w:r>
      <w:r w:rsidR="005C7E19" w:rsidRPr="00DE500E">
        <w:rPr>
          <w:rFonts w:ascii="Tahoma" w:eastAsia="Times New Roman" w:hAnsi="Tahoma" w:cs="Tahoma"/>
          <w:sz w:val="20"/>
          <w:szCs w:val="20"/>
          <w:lang w:val="es-ES" w:eastAsia="es-ES"/>
        </w:rPr>
        <w:t>,</w:t>
      </w:r>
      <w:r w:rsidRPr="00DE500E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revisa las solicitudes de requerimientos presentados por los semilleros, de acuerdo</w:t>
      </w:r>
      <w:r w:rsidR="00DE500E" w:rsidRPr="00DE500E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con el plan de trabajo y</w:t>
      </w:r>
      <w:r w:rsidRPr="00DE500E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presupuest</w:t>
      </w:r>
      <w:r w:rsidR="00A40560" w:rsidRPr="00DE500E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o </w:t>
      </w:r>
      <w:r w:rsidR="00A345C1" w:rsidRPr="00DE500E">
        <w:rPr>
          <w:rFonts w:ascii="Tahoma" w:eastAsia="Times New Roman" w:hAnsi="Tahoma" w:cs="Tahoma"/>
          <w:sz w:val="20"/>
          <w:szCs w:val="20"/>
          <w:lang w:val="es-ES" w:eastAsia="es-ES"/>
        </w:rPr>
        <w:t>aprobado</w:t>
      </w:r>
      <w:r w:rsidR="00A345C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(en su respectivo ítem)</w:t>
      </w:r>
      <w:r w:rsidR="00DE500E" w:rsidRPr="00DE500E">
        <w:rPr>
          <w:rFonts w:ascii="Tahoma" w:eastAsia="Times New Roman" w:hAnsi="Tahoma" w:cs="Tahoma"/>
          <w:sz w:val="20"/>
          <w:szCs w:val="20"/>
          <w:lang w:val="es-ES" w:eastAsia="es-ES"/>
        </w:rPr>
        <w:t>.</w:t>
      </w:r>
      <w:r w:rsidR="00A40560" w:rsidRPr="00DE500E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</w:p>
    <w:p w:rsidR="00D64911" w:rsidRPr="00DE500E" w:rsidRDefault="00D64911" w:rsidP="007667B9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E500E">
        <w:rPr>
          <w:rFonts w:ascii="Tahoma" w:eastAsia="Times New Roman" w:hAnsi="Tahoma" w:cs="Tahoma"/>
          <w:b/>
          <w:sz w:val="20"/>
          <w:szCs w:val="20"/>
          <w:lang w:val="es-ES" w:eastAsia="es-ES"/>
        </w:rPr>
        <w:t>Las comisiones estudiantiles</w:t>
      </w:r>
      <w:r w:rsidRPr="00DE500E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se realizan en el formato para comisiones estudiantiles, que se encuentra disponible en el portal administrativo (Bienestar Universitario).</w:t>
      </w:r>
    </w:p>
    <w:p w:rsidR="007667B9" w:rsidRDefault="00D64911" w:rsidP="007667B9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64911">
        <w:rPr>
          <w:rFonts w:ascii="Tahoma" w:eastAsia="Times New Roman" w:hAnsi="Tahoma" w:cs="Tahoma"/>
          <w:b/>
          <w:sz w:val="20"/>
          <w:szCs w:val="20"/>
          <w:lang w:val="es-ES" w:eastAsia="es-ES"/>
        </w:rPr>
        <w:t>Las salidas de campo</w:t>
      </w:r>
      <w:r w:rsidR="005C7E19">
        <w:rPr>
          <w:rFonts w:ascii="Tahoma" w:eastAsia="Times New Roman" w:hAnsi="Tahoma" w:cs="Tahoma"/>
          <w:b/>
          <w:sz w:val="20"/>
          <w:szCs w:val="20"/>
          <w:lang w:val="es-ES" w:eastAsia="es-ES"/>
        </w:rPr>
        <w:t>,</w:t>
      </w:r>
      <w:r w:rsidRPr="00D6491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se tramitan como una comisión ciñéndose al pre</w:t>
      </w:r>
      <w:r w:rsidR="007667B9">
        <w:rPr>
          <w:rFonts w:ascii="Tahoma" w:eastAsia="Times New Roman" w:hAnsi="Tahoma" w:cs="Tahoma"/>
          <w:sz w:val="20"/>
          <w:szCs w:val="20"/>
          <w:lang w:val="es-ES" w:eastAsia="es-ES"/>
        </w:rPr>
        <w:t>supuesto aprobado en el p</w:t>
      </w:r>
      <w:r w:rsidRPr="00D64911">
        <w:rPr>
          <w:rFonts w:ascii="Tahoma" w:eastAsia="Times New Roman" w:hAnsi="Tahoma" w:cs="Tahoma"/>
          <w:sz w:val="20"/>
          <w:szCs w:val="20"/>
          <w:lang w:val="es-ES" w:eastAsia="es-ES"/>
        </w:rPr>
        <w:t>lan de trabajo</w:t>
      </w:r>
      <w:r w:rsidR="00BB6010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del Semillero de investigación</w:t>
      </w:r>
      <w:r w:rsidRPr="00D6491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. </w:t>
      </w:r>
    </w:p>
    <w:p w:rsidR="00D64911" w:rsidRPr="007667B9" w:rsidRDefault="00D64911" w:rsidP="007667B9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93E3D">
        <w:rPr>
          <w:rFonts w:ascii="Tahoma" w:eastAsia="Times New Roman" w:hAnsi="Tahoma" w:cs="Tahoma"/>
          <w:b/>
          <w:sz w:val="20"/>
          <w:szCs w:val="20"/>
          <w:lang w:val="es-ES" w:eastAsia="es-ES"/>
        </w:rPr>
        <w:t>Las</w:t>
      </w:r>
      <w:r w:rsidR="009748C3" w:rsidRPr="00993E3D">
        <w:rPr>
          <w:rFonts w:ascii="Tahoma" w:eastAsia="Times New Roman" w:hAnsi="Tahoma" w:cs="Tahoma"/>
          <w:b/>
          <w:sz w:val="20"/>
          <w:szCs w:val="20"/>
          <w:lang w:val="es-ES" w:eastAsia="es-ES"/>
        </w:rPr>
        <w:t xml:space="preserve"> solicitudes de</w:t>
      </w:r>
      <w:r w:rsidRPr="00993E3D">
        <w:rPr>
          <w:rFonts w:ascii="Tahoma" w:eastAsia="Times New Roman" w:hAnsi="Tahoma" w:cs="Tahoma"/>
          <w:b/>
          <w:sz w:val="20"/>
          <w:szCs w:val="20"/>
          <w:lang w:val="es-ES" w:eastAsia="es-ES"/>
        </w:rPr>
        <w:t xml:space="preserve"> compras</w:t>
      </w:r>
      <w:r w:rsidRPr="00993E3D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  <w:r w:rsidRPr="00993E3D">
        <w:rPr>
          <w:rFonts w:ascii="Tahoma" w:eastAsia="Times New Roman" w:hAnsi="Tahoma" w:cs="Tahoma"/>
          <w:b/>
          <w:sz w:val="20"/>
          <w:szCs w:val="20"/>
          <w:lang w:val="es-ES" w:eastAsia="es-ES"/>
        </w:rPr>
        <w:t>de:</w:t>
      </w:r>
      <w:r w:rsidRPr="00993E3D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materiales, equipos (pequeños, complementos), bibliografía y otros elementos requeridos para la ejecución del plan de trabajo, deben ser solicitados </w:t>
      </w:r>
      <w:r w:rsidR="005C7E19" w:rsidRPr="00993E3D">
        <w:rPr>
          <w:rFonts w:ascii="Tahoma" w:eastAsia="Times New Roman" w:hAnsi="Tahoma" w:cs="Tahoma"/>
          <w:sz w:val="20"/>
          <w:szCs w:val="20"/>
          <w:lang w:val="es-ES" w:eastAsia="es-ES"/>
        </w:rPr>
        <w:t>con la debida antelación, dependiendo del tipo de requerimiento</w:t>
      </w:r>
      <w:r w:rsidRPr="00993E3D">
        <w:rPr>
          <w:rFonts w:ascii="Tahoma" w:eastAsia="Times New Roman" w:hAnsi="Tahoma" w:cs="Tahoma"/>
          <w:sz w:val="20"/>
          <w:szCs w:val="20"/>
          <w:lang w:val="es-ES" w:eastAsia="es-ES"/>
        </w:rPr>
        <w:t>, para que la Dirección de Investigaciones y Desarrollo Tecnológico</w:t>
      </w:r>
      <w:r w:rsidR="005C7E19" w:rsidRPr="00993E3D">
        <w:rPr>
          <w:rFonts w:ascii="Tahoma" w:eastAsia="Times New Roman" w:hAnsi="Tahoma" w:cs="Tahoma"/>
          <w:sz w:val="20"/>
          <w:szCs w:val="20"/>
          <w:lang w:val="es-ES" w:eastAsia="es-ES"/>
        </w:rPr>
        <w:t>,</w:t>
      </w:r>
      <w:r w:rsidRPr="00993E3D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pueda hacer los correspondientes trámites ante la administra</w:t>
      </w:r>
      <w:r w:rsidR="007667B9" w:rsidRPr="00993E3D">
        <w:rPr>
          <w:rFonts w:ascii="Tahoma" w:eastAsia="Times New Roman" w:hAnsi="Tahoma" w:cs="Tahoma"/>
          <w:sz w:val="20"/>
          <w:szCs w:val="20"/>
          <w:lang w:val="es-ES" w:eastAsia="es-ES"/>
        </w:rPr>
        <w:t>ción financiera, quien tramitará</w:t>
      </w:r>
      <w:r w:rsidRPr="00993E3D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la solicitud en los siguientes 15 días</w:t>
      </w:r>
      <w:r w:rsidRPr="007667B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hábiles. </w:t>
      </w:r>
    </w:p>
    <w:p w:rsidR="00D64911" w:rsidRDefault="007667B9" w:rsidP="00D64911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E69FA">
        <w:rPr>
          <w:rFonts w:ascii="Tahoma" w:eastAsia="Times New Roman" w:hAnsi="Tahoma" w:cs="Tahoma"/>
          <w:b/>
          <w:sz w:val="20"/>
          <w:szCs w:val="20"/>
          <w:lang w:val="es-ES" w:eastAsia="es-ES"/>
        </w:rPr>
        <w:t>Especificaciones de solicitudes de compra</w:t>
      </w: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: </w:t>
      </w:r>
      <w:r w:rsidR="006704B5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El docente orientador, </w:t>
      </w:r>
      <w:r w:rsidR="00D64911" w:rsidRPr="00D6491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debe</w:t>
      </w:r>
      <w:r w:rsidR="006704B5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presentar</w:t>
      </w:r>
      <w:r w:rsidR="00C361B5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por escrito,</w:t>
      </w:r>
      <w:r w:rsidR="006704B5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la </w:t>
      </w:r>
      <w:r w:rsidR="00D64911" w:rsidRPr="00D6491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  <w:r w:rsidR="006704B5">
        <w:rPr>
          <w:rFonts w:ascii="Tahoma" w:eastAsia="Times New Roman" w:hAnsi="Tahoma" w:cs="Tahoma"/>
          <w:sz w:val="20"/>
          <w:szCs w:val="20"/>
          <w:lang w:val="es-ES" w:eastAsia="es-ES"/>
        </w:rPr>
        <w:t>relación de</w:t>
      </w:r>
      <w:r w:rsidR="00D64911" w:rsidRPr="00D6491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las especificaciones completas </w:t>
      </w:r>
      <w:r w:rsidR="00C361B5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de los requerimientos </w:t>
      </w:r>
      <w:r w:rsidR="00D64911" w:rsidRPr="00D64911">
        <w:rPr>
          <w:rFonts w:ascii="Tahoma" w:eastAsia="Times New Roman" w:hAnsi="Tahoma" w:cs="Tahoma"/>
          <w:sz w:val="20"/>
          <w:szCs w:val="20"/>
          <w:lang w:val="es-ES" w:eastAsia="es-ES"/>
        </w:rPr>
        <w:t>(</w:t>
      </w:r>
      <w:r w:rsidR="00956DA2" w:rsidRPr="00D64911">
        <w:rPr>
          <w:rFonts w:ascii="Tahoma" w:eastAsia="Times New Roman" w:hAnsi="Tahoma" w:cs="Tahoma"/>
          <w:sz w:val="20"/>
          <w:szCs w:val="20"/>
          <w:lang w:val="es-ES" w:eastAsia="es-ES"/>
        </w:rPr>
        <w:t>referencia</w:t>
      </w:r>
      <w:r w:rsidR="00956DA2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, </w:t>
      </w:r>
      <w:r w:rsidR="00D64911" w:rsidRPr="00D6491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tamaño, color, material, proveedor, marca, </w:t>
      </w:r>
      <w:r w:rsidR="00336446">
        <w:rPr>
          <w:rFonts w:ascii="Tahoma" w:eastAsia="Times New Roman" w:hAnsi="Tahoma" w:cs="Tahoma"/>
          <w:sz w:val="20"/>
          <w:szCs w:val="20"/>
          <w:lang w:val="es-ES" w:eastAsia="es-ES"/>
        </w:rPr>
        <w:t>precio,</w:t>
      </w:r>
      <w:r w:rsidR="00DF6D07" w:rsidRPr="00DF6D07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  <w:r w:rsidR="00DF6D07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valor total, </w:t>
      </w:r>
      <w:r w:rsidR="00D64911" w:rsidRPr="00D64911">
        <w:rPr>
          <w:rFonts w:ascii="Tahoma" w:eastAsia="Times New Roman" w:hAnsi="Tahoma" w:cs="Tahoma"/>
          <w:sz w:val="20"/>
          <w:szCs w:val="20"/>
          <w:lang w:val="es-ES" w:eastAsia="es-ES"/>
        </w:rPr>
        <w:t>etc.)</w:t>
      </w:r>
      <w:r w:rsidR="006704B5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precisando las especificaciones técnicas del requerimiento</w:t>
      </w:r>
      <w:r w:rsidR="004E3C84">
        <w:rPr>
          <w:rFonts w:ascii="Tahoma" w:eastAsia="Times New Roman" w:hAnsi="Tahoma" w:cs="Tahoma"/>
          <w:sz w:val="20"/>
          <w:szCs w:val="20"/>
          <w:lang w:val="es-ES" w:eastAsia="es-ES"/>
        </w:rPr>
        <w:t>,</w:t>
      </w:r>
      <w:r w:rsidR="00D64911" w:rsidRPr="00D6491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con el fin de que el Departamento de Suministros no tenga dificultades en la compra y el p</w:t>
      </w:r>
      <w:r w:rsidR="002E69FA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roceso se realice </w:t>
      </w:r>
      <w:r w:rsidR="00956DA2">
        <w:rPr>
          <w:rFonts w:ascii="Tahoma" w:eastAsia="Times New Roman" w:hAnsi="Tahoma" w:cs="Tahoma"/>
          <w:sz w:val="20"/>
          <w:szCs w:val="20"/>
          <w:lang w:val="es-ES" w:eastAsia="es-ES"/>
        </w:rPr>
        <w:t>de manera ágil</w:t>
      </w:r>
      <w:r w:rsidR="002E69FA">
        <w:rPr>
          <w:rFonts w:ascii="Tahoma" w:eastAsia="Times New Roman" w:hAnsi="Tahoma" w:cs="Tahoma"/>
          <w:sz w:val="20"/>
          <w:szCs w:val="20"/>
          <w:lang w:val="es-ES" w:eastAsia="es-ES"/>
        </w:rPr>
        <w:t>. E</w:t>
      </w:r>
      <w:r w:rsidR="00D64911" w:rsidRPr="00D6491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n caso de requerir elementos que tengan un único proveedor, </w:t>
      </w:r>
      <w:r w:rsidR="00D64911" w:rsidRPr="00D64911">
        <w:rPr>
          <w:rFonts w:ascii="Tahoma" w:eastAsia="Times New Roman" w:hAnsi="Tahoma" w:cs="Tahoma"/>
          <w:b/>
          <w:sz w:val="20"/>
          <w:szCs w:val="20"/>
          <w:lang w:val="es-ES" w:eastAsia="es-ES"/>
        </w:rPr>
        <w:t>es necesario anexar cotización</w:t>
      </w:r>
      <w:r w:rsidR="00D64911" w:rsidRPr="00D64911">
        <w:rPr>
          <w:rFonts w:ascii="Tahoma" w:eastAsia="Times New Roman" w:hAnsi="Tahoma" w:cs="Tahoma"/>
          <w:sz w:val="20"/>
          <w:szCs w:val="20"/>
          <w:lang w:val="es-ES" w:eastAsia="es-ES"/>
        </w:rPr>
        <w:t>.</w:t>
      </w:r>
    </w:p>
    <w:p w:rsidR="00956DA2" w:rsidRDefault="00956DA2" w:rsidP="00956DA2">
      <w:pPr>
        <w:spacing w:after="0" w:line="240" w:lineRule="auto"/>
        <w:ind w:left="502"/>
        <w:jc w:val="both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:rsidR="005A0196" w:rsidRDefault="005A0196" w:rsidP="00956DA2">
      <w:pPr>
        <w:spacing w:after="0" w:line="240" w:lineRule="auto"/>
        <w:ind w:left="502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b/>
          <w:sz w:val="20"/>
          <w:szCs w:val="20"/>
          <w:lang w:val="es-ES" w:eastAsia="es-ES"/>
        </w:rPr>
        <w:t>NOTA: Los requerimientos de compras de materiales</w:t>
      </w:r>
      <w:r w:rsidR="00A21296">
        <w:rPr>
          <w:rFonts w:ascii="Tahoma" w:eastAsia="Times New Roman" w:hAnsi="Tahoma" w:cs="Tahoma"/>
          <w:b/>
          <w:sz w:val="20"/>
          <w:szCs w:val="20"/>
          <w:lang w:val="es-ES" w:eastAsia="es-ES"/>
        </w:rPr>
        <w:t xml:space="preserve"> y</w:t>
      </w:r>
      <w:r>
        <w:rPr>
          <w:rFonts w:ascii="Tahoma" w:eastAsia="Times New Roman" w:hAnsi="Tahoma" w:cs="Tahoma"/>
          <w:b/>
          <w:sz w:val="20"/>
          <w:szCs w:val="20"/>
          <w:lang w:val="es-ES" w:eastAsia="es-ES"/>
        </w:rPr>
        <w:t xml:space="preserve"> equipos</w:t>
      </w:r>
      <w:r w:rsidR="00A21296">
        <w:rPr>
          <w:rFonts w:ascii="Tahoma" w:eastAsia="Times New Roman" w:hAnsi="Tahoma" w:cs="Tahoma"/>
          <w:b/>
          <w:sz w:val="20"/>
          <w:szCs w:val="20"/>
          <w:lang w:val="es-ES" w:eastAsia="es-ES"/>
        </w:rPr>
        <w:t>,</w:t>
      </w:r>
      <w:r>
        <w:rPr>
          <w:rFonts w:ascii="Tahoma" w:eastAsia="Times New Roman" w:hAnsi="Tahoma" w:cs="Tahoma"/>
          <w:b/>
          <w:sz w:val="20"/>
          <w:szCs w:val="20"/>
          <w:lang w:val="es-ES" w:eastAsia="es-ES"/>
        </w:rPr>
        <w:t xml:space="preserve"> </w:t>
      </w:r>
      <w:r w:rsidRPr="00A21296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deben especificar el propósito </w:t>
      </w:r>
      <w:r w:rsidR="00A21296" w:rsidRPr="00A21296">
        <w:rPr>
          <w:rFonts w:ascii="Tahoma" w:eastAsia="Times New Roman" w:hAnsi="Tahoma" w:cs="Tahoma"/>
          <w:sz w:val="20"/>
          <w:szCs w:val="20"/>
          <w:lang w:val="es-ES" w:eastAsia="es-ES"/>
        </w:rPr>
        <w:t>y uso</w:t>
      </w:r>
      <w:r w:rsidR="00C20534">
        <w:rPr>
          <w:rFonts w:ascii="Tahoma" w:eastAsia="Times New Roman" w:hAnsi="Tahoma" w:cs="Tahoma"/>
          <w:sz w:val="20"/>
          <w:szCs w:val="20"/>
          <w:lang w:val="es-ES" w:eastAsia="es-ES"/>
        </w:rPr>
        <w:t>,</w:t>
      </w:r>
      <w:r w:rsidR="004E3C8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  <w:r w:rsidR="00C2053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según </w:t>
      </w:r>
      <w:r w:rsidR="004E3C84">
        <w:rPr>
          <w:rFonts w:ascii="Tahoma" w:eastAsia="Times New Roman" w:hAnsi="Tahoma" w:cs="Tahoma"/>
          <w:sz w:val="20"/>
          <w:szCs w:val="20"/>
          <w:lang w:val="es-ES" w:eastAsia="es-ES"/>
        </w:rPr>
        <w:t>el plan de</w:t>
      </w:r>
      <w:r w:rsidR="00C2053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trabajo aprobado. </w:t>
      </w:r>
      <w:r w:rsidR="00A21296" w:rsidRPr="00A21296">
        <w:rPr>
          <w:rFonts w:ascii="Tahoma" w:eastAsia="Times New Roman" w:hAnsi="Tahoma" w:cs="Tahoma"/>
          <w:sz w:val="20"/>
          <w:szCs w:val="20"/>
          <w:lang w:val="es-ES" w:eastAsia="es-ES"/>
        </w:rPr>
        <w:t>Lo anterior para orientar la clasificación del requerimiento</w:t>
      </w:r>
      <w:r w:rsidR="00A21296">
        <w:rPr>
          <w:rFonts w:ascii="Tahoma" w:eastAsia="Times New Roman" w:hAnsi="Tahoma" w:cs="Tahoma"/>
          <w:sz w:val="20"/>
          <w:szCs w:val="20"/>
          <w:lang w:val="es-ES" w:eastAsia="es-ES"/>
        </w:rPr>
        <w:t>,</w:t>
      </w:r>
      <w:r w:rsidR="00A21296" w:rsidRPr="00A21296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en el área de compras.</w:t>
      </w:r>
      <w:r w:rsidR="00396C15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Tramitar en formato </w:t>
      </w:r>
      <w:r w:rsidR="008426B0" w:rsidRPr="008426B0">
        <w:rPr>
          <w:rFonts w:ascii="Tahoma" w:eastAsia="Times New Roman" w:hAnsi="Tahoma" w:cs="Tahoma"/>
          <w:sz w:val="20"/>
          <w:szCs w:val="20"/>
          <w:lang w:val="es-ES" w:eastAsia="es-ES"/>
        </w:rPr>
        <w:t>DIDT-2.6-FO28</w:t>
      </w:r>
      <w:r w:rsidR="00396C15">
        <w:rPr>
          <w:rFonts w:ascii="Tahoma" w:eastAsia="Times New Roman" w:hAnsi="Tahoma" w:cs="Tahoma"/>
          <w:sz w:val="20"/>
          <w:szCs w:val="20"/>
          <w:lang w:val="es-ES" w:eastAsia="es-ES"/>
        </w:rPr>
        <w:t>.</w:t>
      </w:r>
      <w:r w:rsidR="008426B0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</w:p>
    <w:p w:rsidR="006C42A7" w:rsidRDefault="006C42A7" w:rsidP="006C42A7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:rsidR="00B078B1" w:rsidRPr="00B078B1" w:rsidRDefault="00D64911" w:rsidP="00D64911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B078B1">
        <w:rPr>
          <w:rFonts w:ascii="Tahoma" w:eastAsia="Times New Roman" w:hAnsi="Tahoma" w:cs="Tahoma"/>
          <w:b/>
          <w:sz w:val="20"/>
          <w:szCs w:val="20"/>
          <w:lang w:val="es-ES" w:eastAsia="es-ES"/>
        </w:rPr>
        <w:t>Contratos solicitados</w:t>
      </w:r>
      <w:r w:rsidR="007667B9" w:rsidRPr="00B078B1">
        <w:rPr>
          <w:rFonts w:ascii="Tahoma" w:eastAsia="Times New Roman" w:hAnsi="Tahoma" w:cs="Tahoma"/>
          <w:sz w:val="20"/>
          <w:szCs w:val="20"/>
          <w:lang w:val="es-ES" w:eastAsia="es-ES"/>
        </w:rPr>
        <w:t>: el docente o</w:t>
      </w:r>
      <w:r w:rsidRPr="00B078B1">
        <w:rPr>
          <w:rFonts w:ascii="Tahoma" w:eastAsia="Times New Roman" w:hAnsi="Tahoma" w:cs="Tahoma"/>
          <w:sz w:val="20"/>
          <w:szCs w:val="20"/>
          <w:lang w:val="es-ES" w:eastAsia="es-ES"/>
        </w:rPr>
        <w:t>rientador</w:t>
      </w:r>
      <w:r w:rsidR="00C361B5" w:rsidRPr="00B078B1">
        <w:rPr>
          <w:rFonts w:ascii="Tahoma" w:eastAsia="Times New Roman" w:hAnsi="Tahoma" w:cs="Tahoma"/>
          <w:sz w:val="20"/>
          <w:szCs w:val="20"/>
          <w:lang w:val="es-ES" w:eastAsia="es-ES"/>
        </w:rPr>
        <w:t>,</w:t>
      </w:r>
      <w:r w:rsidRPr="00B078B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debe solicitar </w:t>
      </w:r>
      <w:r w:rsidR="006C1927" w:rsidRPr="00B078B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a la DIDT </w:t>
      </w:r>
      <w:r w:rsidRPr="00B078B1">
        <w:rPr>
          <w:rFonts w:ascii="Tahoma" w:eastAsia="Times New Roman" w:hAnsi="Tahoma" w:cs="Tahoma"/>
          <w:sz w:val="20"/>
          <w:szCs w:val="20"/>
          <w:lang w:val="es-ES" w:eastAsia="es-ES"/>
        </w:rPr>
        <w:t>por escrito la elaboración de los contratos</w:t>
      </w:r>
      <w:r w:rsidR="00CE0792" w:rsidRPr="00B078B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a</w:t>
      </w:r>
      <w:r w:rsidRPr="00B078B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que haya lugar</w:t>
      </w:r>
      <w:r w:rsidR="00B530D7" w:rsidRPr="00B078B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(co</w:t>
      </w:r>
      <w:r w:rsidR="00D8699B" w:rsidRPr="00B078B1">
        <w:rPr>
          <w:rFonts w:ascii="Tahoma" w:eastAsia="Times New Roman" w:hAnsi="Tahoma" w:cs="Tahoma"/>
          <w:sz w:val="20"/>
          <w:szCs w:val="20"/>
          <w:lang w:val="es-ES" w:eastAsia="es-ES"/>
        </w:rPr>
        <w:t>ntratos para servicios técnicos para análisis, mediciones,</w:t>
      </w:r>
      <w:r w:rsidR="00B530D7" w:rsidRPr="00B078B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personal de capacitación, etc.)</w:t>
      </w:r>
      <w:r w:rsidR="007667B9" w:rsidRPr="00B078B1">
        <w:rPr>
          <w:rFonts w:ascii="Tahoma" w:eastAsia="Times New Roman" w:hAnsi="Tahoma" w:cs="Tahoma"/>
          <w:sz w:val="20"/>
          <w:szCs w:val="20"/>
          <w:lang w:val="es-ES" w:eastAsia="es-ES"/>
        </w:rPr>
        <w:t>,</w:t>
      </w:r>
      <w:r w:rsidRPr="00B078B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 acuerdo al presupuesto </w:t>
      </w:r>
      <w:r w:rsidR="00B530D7" w:rsidRPr="00B078B1">
        <w:rPr>
          <w:rFonts w:ascii="Tahoma" w:eastAsia="Times New Roman" w:hAnsi="Tahoma" w:cs="Tahoma"/>
          <w:sz w:val="20"/>
          <w:szCs w:val="20"/>
          <w:lang w:val="es-ES" w:eastAsia="es-ES"/>
        </w:rPr>
        <w:t>aprobado en el plan de trabajo</w:t>
      </w:r>
      <w:r w:rsidR="006C1927" w:rsidRPr="00B078B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  <w:r w:rsidR="00C20534" w:rsidRPr="00B078B1">
        <w:rPr>
          <w:rFonts w:ascii="Tahoma" w:eastAsia="Times New Roman" w:hAnsi="Tahoma" w:cs="Tahoma"/>
          <w:sz w:val="20"/>
          <w:szCs w:val="20"/>
          <w:lang w:val="es-ES" w:eastAsia="es-ES"/>
        </w:rPr>
        <w:t>de</w:t>
      </w:r>
      <w:r w:rsidR="006C1927" w:rsidRPr="00B078B1">
        <w:rPr>
          <w:rFonts w:ascii="Tahoma" w:eastAsia="Times New Roman" w:hAnsi="Tahoma" w:cs="Tahoma"/>
          <w:sz w:val="20"/>
          <w:szCs w:val="20"/>
          <w:lang w:val="es-ES" w:eastAsia="es-ES"/>
        </w:rPr>
        <w:t>l Semillero</w:t>
      </w:r>
      <w:r w:rsidR="007667B9" w:rsidRPr="00B078B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, con la debida anticipación </w:t>
      </w:r>
      <w:r w:rsidR="006C1927" w:rsidRPr="00B078B1">
        <w:rPr>
          <w:rFonts w:ascii="Tahoma" w:eastAsia="Times New Roman" w:hAnsi="Tahoma" w:cs="Tahoma"/>
          <w:sz w:val="20"/>
          <w:szCs w:val="20"/>
          <w:lang w:val="es-ES" w:eastAsia="es-ES"/>
        </w:rPr>
        <w:t>(</w:t>
      </w:r>
      <w:r w:rsidRPr="00B078B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15 días hábiles antes del inicio del contrato), una vez aprobado el plan  de trabajo. </w:t>
      </w:r>
      <w:r w:rsidRPr="00B078B1">
        <w:rPr>
          <w:rFonts w:ascii="Tahoma" w:eastAsia="Times New Roman" w:hAnsi="Tahoma" w:cs="Tahoma"/>
          <w:b/>
          <w:sz w:val="20"/>
          <w:szCs w:val="20"/>
          <w:lang w:val="es-ES" w:eastAsia="es-ES"/>
        </w:rPr>
        <w:t>Ninguna persona puede iniciar labores sin tener el contrato protocolizado.</w:t>
      </w:r>
    </w:p>
    <w:p w:rsidR="00B078B1" w:rsidRDefault="00B078B1" w:rsidP="00D64911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lastRenderedPageBreak/>
        <w:t>La contratación de personal, para efectos de capacitación debe especificar la agenda temática que se desarrollara y el personal asistente</w:t>
      </w:r>
      <w:r w:rsidR="00053F0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a la misma.</w:t>
      </w:r>
    </w:p>
    <w:p w:rsidR="00EB245B" w:rsidRPr="00B078B1" w:rsidRDefault="00EB245B" w:rsidP="00D64911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B078B1">
        <w:rPr>
          <w:rFonts w:ascii="Tahoma" w:eastAsia="Times New Roman" w:hAnsi="Tahoma" w:cs="Tahoma"/>
          <w:b/>
          <w:sz w:val="20"/>
          <w:szCs w:val="20"/>
          <w:lang w:val="es-ES" w:eastAsia="es-ES"/>
        </w:rPr>
        <w:t>Los ajustes al presupuesto</w:t>
      </w:r>
      <w:r w:rsidRPr="00B078B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, se pueden modificar hasta </w:t>
      </w:r>
      <w:r w:rsidR="00D60132" w:rsidRPr="00B078B1">
        <w:rPr>
          <w:rFonts w:ascii="Tahoma" w:eastAsia="Times New Roman" w:hAnsi="Tahoma" w:cs="Tahoma"/>
          <w:sz w:val="20"/>
          <w:szCs w:val="20"/>
          <w:lang w:val="es-ES" w:eastAsia="es-ES"/>
        </w:rPr>
        <w:t>una  vez</w:t>
      </w:r>
      <w:r w:rsidR="00B078B1" w:rsidRPr="00B078B1">
        <w:rPr>
          <w:rFonts w:ascii="Tahoma" w:eastAsia="Times New Roman" w:hAnsi="Tahoma" w:cs="Tahoma"/>
          <w:sz w:val="20"/>
          <w:szCs w:val="20"/>
          <w:lang w:val="es-ES" w:eastAsia="es-ES"/>
        </w:rPr>
        <w:t>,</w:t>
      </w:r>
      <w:r w:rsidR="00D60132" w:rsidRPr="00B078B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  <w:r w:rsidRPr="00B078B1">
        <w:rPr>
          <w:rFonts w:ascii="Tahoma" w:eastAsia="Times New Roman" w:hAnsi="Tahoma" w:cs="Tahoma"/>
          <w:sz w:val="20"/>
          <w:szCs w:val="20"/>
          <w:lang w:val="es-ES" w:eastAsia="es-ES"/>
        </w:rPr>
        <w:t>previa información a la DIDT.</w:t>
      </w:r>
    </w:p>
    <w:p w:rsidR="00041A8F" w:rsidRDefault="00041A8F" w:rsidP="00D64911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D64911" w:rsidRPr="00D64911" w:rsidRDefault="00D64911" w:rsidP="00D64911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64911">
        <w:rPr>
          <w:rFonts w:ascii="Tahoma" w:eastAsia="Times New Roman" w:hAnsi="Tahoma" w:cs="Tahoma"/>
          <w:sz w:val="20"/>
          <w:szCs w:val="20"/>
          <w:lang w:val="es-ES" w:eastAsia="es-ES"/>
        </w:rPr>
        <w:t>Los documentos requer</w:t>
      </w:r>
      <w:r w:rsidR="007667B9">
        <w:rPr>
          <w:rFonts w:ascii="Tahoma" w:eastAsia="Times New Roman" w:hAnsi="Tahoma" w:cs="Tahoma"/>
          <w:sz w:val="20"/>
          <w:szCs w:val="20"/>
          <w:lang w:val="es-ES" w:eastAsia="es-ES"/>
        </w:rPr>
        <w:t>idos para la contratación</w:t>
      </w:r>
      <w:r w:rsidR="00041A8F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 personal</w:t>
      </w:r>
      <w:r w:rsidR="007667B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son: hoja de </w:t>
      </w:r>
      <w:r w:rsidR="00887B20">
        <w:rPr>
          <w:rFonts w:ascii="Tahoma" w:eastAsia="Times New Roman" w:hAnsi="Tahoma" w:cs="Tahoma"/>
          <w:sz w:val="20"/>
          <w:szCs w:val="20"/>
          <w:lang w:val="es-ES" w:eastAsia="es-ES"/>
        </w:rPr>
        <w:t>v</w:t>
      </w:r>
      <w:r w:rsidR="007667B9">
        <w:rPr>
          <w:rFonts w:ascii="Tahoma" w:eastAsia="Times New Roman" w:hAnsi="Tahoma" w:cs="Tahoma"/>
          <w:sz w:val="20"/>
          <w:szCs w:val="20"/>
          <w:lang w:val="es-ES" w:eastAsia="es-ES"/>
        </w:rPr>
        <w:t>ida, fotocopia de cédula, f</w:t>
      </w:r>
      <w:r w:rsidRPr="00D64911">
        <w:rPr>
          <w:rFonts w:ascii="Tahoma" w:eastAsia="Times New Roman" w:hAnsi="Tahoma" w:cs="Tahoma"/>
          <w:sz w:val="20"/>
          <w:szCs w:val="20"/>
          <w:lang w:val="es-ES" w:eastAsia="es-ES"/>
        </w:rPr>
        <w:t>ormatos IF0</w:t>
      </w:r>
      <w:r w:rsidR="00887B20">
        <w:rPr>
          <w:rFonts w:ascii="Tahoma" w:eastAsia="Times New Roman" w:hAnsi="Tahoma" w:cs="Tahoma"/>
          <w:sz w:val="20"/>
          <w:szCs w:val="20"/>
          <w:lang w:val="es-ES" w:eastAsia="es-ES"/>
        </w:rPr>
        <w:t>0</w:t>
      </w:r>
      <w:r w:rsidRPr="00D64911">
        <w:rPr>
          <w:rFonts w:ascii="Tahoma" w:eastAsia="Times New Roman" w:hAnsi="Tahoma" w:cs="Tahoma"/>
          <w:sz w:val="20"/>
          <w:szCs w:val="20"/>
          <w:lang w:val="es-ES" w:eastAsia="es-ES"/>
        </w:rPr>
        <w:t>8 y IF0</w:t>
      </w:r>
      <w:r w:rsidR="00887B20">
        <w:rPr>
          <w:rFonts w:ascii="Tahoma" w:eastAsia="Times New Roman" w:hAnsi="Tahoma" w:cs="Tahoma"/>
          <w:sz w:val="20"/>
          <w:szCs w:val="20"/>
          <w:lang w:val="es-ES" w:eastAsia="es-ES"/>
        </w:rPr>
        <w:t>0</w:t>
      </w:r>
      <w:r w:rsidRPr="00D64911">
        <w:rPr>
          <w:rFonts w:ascii="Tahoma" w:eastAsia="Times New Roman" w:hAnsi="Tahoma" w:cs="Tahoma"/>
          <w:sz w:val="20"/>
          <w:szCs w:val="20"/>
          <w:lang w:val="es-ES" w:eastAsia="es-ES"/>
        </w:rPr>
        <w:t>9, además de:</w:t>
      </w:r>
    </w:p>
    <w:p w:rsidR="00D64911" w:rsidRPr="00D64911" w:rsidRDefault="00D64911" w:rsidP="00D64911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D64911" w:rsidRPr="00D64911" w:rsidRDefault="00D64911" w:rsidP="00D64911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6491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Si es persona </w:t>
      </w:r>
      <w:r w:rsidR="002E69FA">
        <w:rPr>
          <w:rFonts w:ascii="Tahoma" w:eastAsia="Times New Roman" w:hAnsi="Tahoma" w:cs="Tahoma"/>
          <w:sz w:val="20"/>
          <w:szCs w:val="20"/>
          <w:lang w:val="es-ES" w:eastAsia="es-ES"/>
        </w:rPr>
        <w:t>n</w:t>
      </w:r>
      <w:r w:rsidRPr="00D64911">
        <w:rPr>
          <w:rFonts w:ascii="Tahoma" w:eastAsia="Times New Roman" w:hAnsi="Tahoma" w:cs="Tahoma"/>
          <w:sz w:val="20"/>
          <w:szCs w:val="20"/>
          <w:lang w:val="es-ES" w:eastAsia="es-ES"/>
        </w:rPr>
        <w:t>atural que pertenece al régimen simplificado</w:t>
      </w:r>
      <w:r w:rsidR="007667B9">
        <w:rPr>
          <w:rFonts w:ascii="Tahoma" w:eastAsia="Times New Roman" w:hAnsi="Tahoma" w:cs="Tahoma"/>
          <w:sz w:val="20"/>
          <w:szCs w:val="20"/>
          <w:lang w:val="es-ES" w:eastAsia="es-ES"/>
        </w:rPr>
        <w:t>,</w:t>
      </w:r>
      <w:r w:rsidRPr="00D6491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debe anexar copia del Registro Único Tributario (RUT), </w:t>
      </w:r>
      <w:r w:rsidR="002E69FA">
        <w:rPr>
          <w:rFonts w:ascii="Tahoma" w:eastAsia="Times New Roman" w:hAnsi="Tahoma" w:cs="Tahoma"/>
          <w:sz w:val="20"/>
          <w:szCs w:val="20"/>
          <w:lang w:val="es-ES" w:eastAsia="es-ES"/>
        </w:rPr>
        <w:t>f</w:t>
      </w:r>
      <w:r w:rsidRPr="00D64911">
        <w:rPr>
          <w:rFonts w:ascii="Tahoma" w:eastAsia="Times New Roman" w:hAnsi="Tahoma" w:cs="Tahoma"/>
          <w:sz w:val="20"/>
          <w:szCs w:val="20"/>
          <w:lang w:val="es-ES" w:eastAsia="es-ES"/>
        </w:rPr>
        <w:t>ormulario de inscripción como pr</w:t>
      </w:r>
      <w:r w:rsidR="00DA308F">
        <w:rPr>
          <w:rFonts w:ascii="Tahoma" w:eastAsia="Times New Roman" w:hAnsi="Tahoma" w:cs="Tahoma"/>
          <w:sz w:val="20"/>
          <w:szCs w:val="20"/>
          <w:lang w:val="es-ES" w:eastAsia="es-ES"/>
        </w:rPr>
        <w:t>oveedor UAO, copia de la cé</w:t>
      </w:r>
      <w:r w:rsidRPr="00D64911">
        <w:rPr>
          <w:rFonts w:ascii="Tahoma" w:eastAsia="Times New Roman" w:hAnsi="Tahoma" w:cs="Tahoma"/>
          <w:sz w:val="20"/>
          <w:szCs w:val="20"/>
          <w:lang w:val="es-ES" w:eastAsia="es-ES"/>
        </w:rPr>
        <w:t>dula y certificación bancaria.</w:t>
      </w:r>
    </w:p>
    <w:p w:rsidR="00D64911" w:rsidRDefault="002E69FA" w:rsidP="00D877D2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>Para las personas j</w:t>
      </w:r>
      <w:r w:rsidR="00D64911" w:rsidRPr="00D64911">
        <w:rPr>
          <w:rFonts w:ascii="Tahoma" w:eastAsia="Times New Roman" w:hAnsi="Tahoma" w:cs="Tahoma"/>
          <w:sz w:val="20"/>
          <w:szCs w:val="20"/>
          <w:lang w:val="es-ES" w:eastAsia="es-ES"/>
        </w:rPr>
        <w:t>urídicas</w:t>
      </w:r>
      <w:r w:rsidR="00DA308F">
        <w:rPr>
          <w:rFonts w:ascii="Tahoma" w:eastAsia="Times New Roman" w:hAnsi="Tahoma" w:cs="Tahoma"/>
          <w:sz w:val="20"/>
          <w:szCs w:val="20"/>
          <w:lang w:val="es-ES" w:eastAsia="es-ES"/>
        </w:rPr>
        <w:t>,</w:t>
      </w:r>
      <w:r w:rsidR="00D64911" w:rsidRPr="00D6491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el </w:t>
      </w:r>
      <w:r>
        <w:rPr>
          <w:rFonts w:ascii="Tahoma" w:eastAsia="Times New Roman" w:hAnsi="Tahoma" w:cs="Tahoma"/>
          <w:sz w:val="20"/>
          <w:szCs w:val="20"/>
          <w:lang w:val="es-ES" w:eastAsia="es-ES"/>
        </w:rPr>
        <w:t>c</w:t>
      </w:r>
      <w:r w:rsidR="00DA308F">
        <w:rPr>
          <w:rFonts w:ascii="Tahoma" w:eastAsia="Times New Roman" w:hAnsi="Tahoma" w:cs="Tahoma"/>
          <w:sz w:val="20"/>
          <w:szCs w:val="20"/>
          <w:lang w:val="es-ES" w:eastAsia="es-ES"/>
        </w:rPr>
        <w:t>ertificado de Cámara y Comercio</w:t>
      </w:r>
      <w:r w:rsidR="006F413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con fecha de expedición no mayor a tres meses</w:t>
      </w:r>
      <w:r w:rsidR="007F1074">
        <w:rPr>
          <w:rFonts w:ascii="Tahoma" w:eastAsia="Times New Roman" w:hAnsi="Tahoma" w:cs="Tahoma"/>
          <w:sz w:val="20"/>
          <w:szCs w:val="20"/>
          <w:lang w:val="es-ES" w:eastAsia="es-ES"/>
        </w:rPr>
        <w:t>,</w:t>
      </w:r>
      <w:r w:rsidR="00DA308F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  <w:r w:rsidR="00D877D2" w:rsidRPr="00D64911">
        <w:rPr>
          <w:rFonts w:ascii="Tahoma" w:eastAsia="Times New Roman" w:hAnsi="Tahoma" w:cs="Tahoma"/>
          <w:sz w:val="20"/>
          <w:szCs w:val="20"/>
          <w:lang w:val="es-ES" w:eastAsia="es-ES"/>
        </w:rPr>
        <w:t>Registro Único Tributario (RUT),</w:t>
      </w:r>
      <w:r w:rsidR="00D877D2" w:rsidRPr="00D877D2">
        <w:t xml:space="preserve"> </w:t>
      </w:r>
      <w:r w:rsidR="00D877D2" w:rsidRPr="00D877D2">
        <w:rPr>
          <w:rFonts w:ascii="Tahoma" w:eastAsia="Times New Roman" w:hAnsi="Tahoma" w:cs="Tahoma"/>
          <w:sz w:val="20"/>
          <w:szCs w:val="20"/>
          <w:lang w:val="es-ES" w:eastAsia="es-ES"/>
        </w:rPr>
        <w:t>certificación bancaria</w:t>
      </w:r>
      <w:r w:rsidR="00D877D2">
        <w:rPr>
          <w:rFonts w:ascii="Tahoma" w:eastAsia="Times New Roman" w:hAnsi="Tahoma" w:cs="Tahoma"/>
          <w:sz w:val="20"/>
          <w:szCs w:val="20"/>
          <w:lang w:val="es-ES" w:eastAsia="es-ES"/>
        </w:rPr>
        <w:t>,</w:t>
      </w:r>
      <w:r w:rsidR="00D877D2" w:rsidRPr="00D877D2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  <w:r w:rsidR="00D877D2">
        <w:rPr>
          <w:rFonts w:ascii="Tahoma" w:eastAsia="Times New Roman" w:hAnsi="Tahoma" w:cs="Tahoma"/>
          <w:sz w:val="20"/>
          <w:szCs w:val="20"/>
          <w:lang w:val="es-ES" w:eastAsia="es-ES"/>
        </w:rPr>
        <w:t>carta de certificación ambiental</w:t>
      </w:r>
      <w:r w:rsidR="00332EDA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, </w:t>
      </w:r>
      <w:r w:rsidR="006F413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certificación </w:t>
      </w:r>
      <w:r w:rsidR="00332EDA">
        <w:rPr>
          <w:rFonts w:ascii="Tahoma" w:eastAsia="Times New Roman" w:hAnsi="Tahoma" w:cs="Tahoma"/>
          <w:sz w:val="20"/>
          <w:szCs w:val="20"/>
          <w:lang w:val="es-ES" w:eastAsia="es-ES"/>
        </w:rPr>
        <w:t>de lista internacional de sancionados, certificación de vínculos con funcionarios de la UAO</w:t>
      </w:r>
      <w:r w:rsidR="00D877D2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y el</w:t>
      </w:r>
      <w:r w:rsidR="00D877D2" w:rsidRPr="00D6491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formato de inscripción como proveedor</w:t>
      </w:r>
      <w:r w:rsidR="001730DB">
        <w:rPr>
          <w:rFonts w:ascii="Tahoma" w:eastAsia="Times New Roman" w:hAnsi="Tahoma" w:cs="Tahoma"/>
          <w:sz w:val="20"/>
          <w:szCs w:val="20"/>
          <w:lang w:val="es-ES" w:eastAsia="es-ES"/>
        </w:rPr>
        <w:t>,</w:t>
      </w:r>
      <w:r w:rsidR="00D877D2" w:rsidRPr="00D877D2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  <w:r w:rsidR="00D877D2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en caso de que no tenga registro </w:t>
      </w:r>
      <w:r w:rsidR="00A45B12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en la </w:t>
      </w:r>
      <w:r w:rsidR="00D877D2">
        <w:rPr>
          <w:rFonts w:ascii="Tahoma" w:eastAsia="Times New Roman" w:hAnsi="Tahoma" w:cs="Tahoma"/>
          <w:sz w:val="20"/>
          <w:szCs w:val="20"/>
          <w:lang w:val="es-ES" w:eastAsia="es-ES"/>
        </w:rPr>
        <w:t>UAO</w:t>
      </w:r>
      <w:r w:rsidR="00332EDA">
        <w:rPr>
          <w:rFonts w:ascii="Tahoma" w:eastAsia="Times New Roman" w:hAnsi="Tahoma" w:cs="Tahoma"/>
          <w:sz w:val="20"/>
          <w:szCs w:val="20"/>
          <w:lang w:val="es-ES" w:eastAsia="es-ES"/>
        </w:rPr>
        <w:t>.</w:t>
      </w:r>
    </w:p>
    <w:p w:rsidR="00B078B1" w:rsidRDefault="00B078B1" w:rsidP="00B078B1">
      <w:pPr>
        <w:spacing w:after="0" w:line="240" w:lineRule="auto"/>
        <w:ind w:left="1068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D64911" w:rsidRDefault="00D64911" w:rsidP="00B078B1">
      <w:pPr>
        <w:tabs>
          <w:tab w:val="left" w:pos="977"/>
        </w:tabs>
        <w:spacing w:after="0" w:line="240" w:lineRule="auto"/>
        <w:ind w:left="1068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706DDE" w:rsidRDefault="00B078B1" w:rsidP="00B078B1">
      <w:pPr>
        <w:spacing w:after="0" w:line="240" w:lineRule="auto"/>
        <w:ind w:left="502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A345C1">
        <w:rPr>
          <w:rFonts w:ascii="Tahoma" w:eastAsia="Times New Roman" w:hAnsi="Tahoma" w:cs="Tahoma"/>
          <w:b/>
          <w:sz w:val="20"/>
          <w:szCs w:val="20"/>
          <w:lang w:val="es-ES" w:eastAsia="es-ES"/>
        </w:rPr>
        <w:t xml:space="preserve">La ejecución del </w:t>
      </w:r>
      <w:r w:rsidR="00706DDE" w:rsidRPr="00A345C1">
        <w:rPr>
          <w:rFonts w:ascii="Tahoma" w:eastAsia="Times New Roman" w:hAnsi="Tahoma" w:cs="Tahoma"/>
          <w:b/>
          <w:sz w:val="20"/>
          <w:szCs w:val="20"/>
          <w:lang w:val="es-ES" w:eastAsia="es-ES"/>
        </w:rPr>
        <w:t>presupuesto</w:t>
      </w:r>
      <w:r w:rsidR="00706DDE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(compras, contratación),</w:t>
      </w: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se debe planificar para realizar durante un período de </w:t>
      </w:r>
      <w:r w:rsidR="005477FA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  <w:r w:rsidR="00164424">
        <w:rPr>
          <w:rFonts w:ascii="Tahoma" w:eastAsia="Times New Roman" w:hAnsi="Tahoma" w:cs="Tahoma"/>
          <w:sz w:val="20"/>
          <w:szCs w:val="20"/>
          <w:lang w:val="es-ES" w:eastAsia="es-ES"/>
        </w:rPr>
        <w:t>once</w:t>
      </w:r>
      <w:r w:rsidR="005477FA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(</w:t>
      </w:r>
      <w:r>
        <w:rPr>
          <w:rFonts w:ascii="Tahoma" w:eastAsia="Times New Roman" w:hAnsi="Tahoma" w:cs="Tahoma"/>
          <w:sz w:val="20"/>
          <w:szCs w:val="20"/>
          <w:lang w:val="es-ES" w:eastAsia="es-ES"/>
        </w:rPr>
        <w:t>1</w:t>
      </w:r>
      <w:r w:rsidR="00164424">
        <w:rPr>
          <w:rFonts w:ascii="Tahoma" w:eastAsia="Times New Roman" w:hAnsi="Tahoma" w:cs="Tahoma"/>
          <w:sz w:val="20"/>
          <w:szCs w:val="20"/>
          <w:lang w:val="es-ES" w:eastAsia="es-ES"/>
        </w:rPr>
        <w:t>1</w:t>
      </w:r>
      <w:r w:rsidR="005477FA">
        <w:rPr>
          <w:rFonts w:ascii="Tahoma" w:eastAsia="Times New Roman" w:hAnsi="Tahoma" w:cs="Tahoma"/>
          <w:sz w:val="20"/>
          <w:szCs w:val="20"/>
          <w:lang w:val="es-ES" w:eastAsia="es-ES"/>
        </w:rPr>
        <w:t>)</w:t>
      </w: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meses. </w:t>
      </w:r>
      <w:r w:rsidR="00706DDE">
        <w:rPr>
          <w:rFonts w:ascii="Tahoma" w:eastAsia="Times New Roman" w:hAnsi="Tahoma" w:cs="Tahoma"/>
          <w:sz w:val="20"/>
          <w:szCs w:val="20"/>
          <w:lang w:val="es-ES" w:eastAsia="es-ES"/>
        </w:rPr>
        <w:t>La ejecución para efectos de movilidad académica se permite hasta el mes once.</w:t>
      </w:r>
    </w:p>
    <w:p w:rsidR="00706DDE" w:rsidRDefault="00706DDE" w:rsidP="00B078B1">
      <w:pPr>
        <w:spacing w:after="0" w:line="240" w:lineRule="auto"/>
        <w:ind w:left="502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B078B1" w:rsidRDefault="00164424" w:rsidP="00B078B1">
      <w:pPr>
        <w:spacing w:after="0" w:line="240" w:lineRule="auto"/>
        <w:ind w:left="502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>El</w:t>
      </w:r>
      <w:r w:rsidR="00B078B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último</w:t>
      </w: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mes,</w:t>
      </w:r>
      <w:r w:rsidR="00B078B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se deben orientar a la preparación del informe final del plan de trabajo aprobado al Semillero de investigación. </w:t>
      </w:r>
    </w:p>
    <w:p w:rsidR="00B078B1" w:rsidRDefault="00B078B1" w:rsidP="00B078B1">
      <w:pPr>
        <w:tabs>
          <w:tab w:val="left" w:pos="977"/>
        </w:tabs>
        <w:spacing w:after="0" w:line="240" w:lineRule="auto"/>
        <w:ind w:left="502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6C42A7" w:rsidRDefault="00706DDE" w:rsidP="00D64911">
      <w:pPr>
        <w:spacing w:after="0" w:line="240" w:lineRule="auto"/>
        <w:ind w:left="502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A345C1">
        <w:rPr>
          <w:rFonts w:ascii="Tahoma" w:eastAsia="Times New Roman" w:hAnsi="Tahoma" w:cs="Tahoma"/>
          <w:sz w:val="20"/>
          <w:szCs w:val="20"/>
          <w:lang w:val="es-ES" w:eastAsia="es-ES"/>
        </w:rPr>
        <w:t>Para el caso de los planes de semilleros que cuenten con la orientación de dos (2) docentes, las solicitudes de ejecución presupuestal,  debe</w:t>
      </w:r>
      <w:r w:rsidR="00164424">
        <w:rPr>
          <w:rFonts w:ascii="Tahoma" w:eastAsia="Times New Roman" w:hAnsi="Tahoma" w:cs="Tahoma"/>
          <w:sz w:val="20"/>
          <w:szCs w:val="20"/>
          <w:lang w:val="es-ES" w:eastAsia="es-ES"/>
        </w:rPr>
        <w:t>n</w:t>
      </w:r>
      <w:r w:rsidRPr="00A345C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estar firmada</w:t>
      </w:r>
      <w:r w:rsidR="00164424">
        <w:rPr>
          <w:rFonts w:ascii="Tahoma" w:eastAsia="Times New Roman" w:hAnsi="Tahoma" w:cs="Tahoma"/>
          <w:sz w:val="20"/>
          <w:szCs w:val="20"/>
          <w:lang w:val="es-ES" w:eastAsia="es-ES"/>
        </w:rPr>
        <w:t>s</w:t>
      </w:r>
      <w:r w:rsidRPr="00A345C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por los dos orientadores</w:t>
      </w:r>
      <w:r w:rsidR="00A345C1" w:rsidRPr="00A345C1">
        <w:rPr>
          <w:rFonts w:ascii="Tahoma" w:eastAsia="Times New Roman" w:hAnsi="Tahoma" w:cs="Tahoma"/>
          <w:sz w:val="20"/>
          <w:szCs w:val="20"/>
          <w:lang w:val="es-ES" w:eastAsia="es-ES"/>
        </w:rPr>
        <w:t>.</w:t>
      </w:r>
    </w:p>
    <w:p w:rsidR="00A345C1" w:rsidRPr="00053F09" w:rsidRDefault="00A345C1" w:rsidP="00D64911">
      <w:pPr>
        <w:spacing w:after="0" w:line="240" w:lineRule="auto"/>
        <w:ind w:left="502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D64911" w:rsidRDefault="00D25D90" w:rsidP="00D6491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>10</w:t>
      </w:r>
      <w:r w:rsidR="00D64911" w:rsidRPr="00A345C1">
        <w:rPr>
          <w:rFonts w:ascii="Tahoma" w:eastAsia="Times New Roman" w:hAnsi="Tahoma" w:cs="Tahoma"/>
          <w:sz w:val="20"/>
          <w:szCs w:val="20"/>
          <w:lang w:val="es-ES" w:eastAsia="es-ES"/>
        </w:rPr>
        <w:t>.  Los procesos administrativos deben ser gestionados por los docentes orientadores.</w:t>
      </w:r>
    </w:p>
    <w:p w:rsidR="00D25D90" w:rsidRPr="00A345C1" w:rsidRDefault="00D25D90" w:rsidP="00D6491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C87502" w:rsidRPr="00A345C1" w:rsidRDefault="00D25D90" w:rsidP="00D6491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>11</w:t>
      </w:r>
      <w:r w:rsidR="00C87502" w:rsidRPr="00A345C1">
        <w:rPr>
          <w:rFonts w:ascii="Tahoma" w:eastAsia="Times New Roman" w:hAnsi="Tahoma" w:cs="Tahoma"/>
          <w:sz w:val="20"/>
          <w:szCs w:val="20"/>
          <w:lang w:val="es-ES" w:eastAsia="es-ES"/>
        </w:rPr>
        <w:t>. Los docentes orientadores, deben hacer seguimiento a la ejecución presupuestal,</w:t>
      </w:r>
      <w:r w:rsidR="00486BA0" w:rsidRPr="00A345C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lo anterior para el conocimiento del </w:t>
      </w:r>
      <w:r w:rsidR="00C87502" w:rsidRPr="00A345C1">
        <w:rPr>
          <w:rFonts w:ascii="Tahoma" w:eastAsia="Times New Roman" w:hAnsi="Tahoma" w:cs="Tahoma"/>
          <w:sz w:val="20"/>
          <w:szCs w:val="20"/>
          <w:lang w:val="es-ES" w:eastAsia="es-ES"/>
        </w:rPr>
        <w:t>saldo disponib</w:t>
      </w:r>
      <w:r w:rsidR="00486BA0" w:rsidRPr="00A345C1">
        <w:rPr>
          <w:rFonts w:ascii="Tahoma" w:eastAsia="Times New Roman" w:hAnsi="Tahoma" w:cs="Tahoma"/>
          <w:sz w:val="20"/>
          <w:szCs w:val="20"/>
          <w:lang w:val="es-ES" w:eastAsia="es-ES"/>
        </w:rPr>
        <w:t>le.</w:t>
      </w:r>
      <w:r w:rsidR="00C87502" w:rsidRPr="00A345C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</w:p>
    <w:p w:rsidR="00D64911" w:rsidRPr="00A345C1" w:rsidRDefault="00D64911" w:rsidP="00D6491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D64911" w:rsidRPr="00D64911" w:rsidRDefault="00D64911" w:rsidP="00D6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64911">
        <w:rPr>
          <w:rFonts w:ascii="Tahoma" w:eastAsia="Times New Roman" w:hAnsi="Tahoma" w:cs="Tahoma"/>
          <w:sz w:val="20"/>
          <w:szCs w:val="20"/>
          <w:lang w:val="es-ES" w:eastAsia="es-ES"/>
        </w:rPr>
        <w:t>1</w:t>
      </w:r>
      <w:r w:rsidR="00D25D90">
        <w:rPr>
          <w:rFonts w:ascii="Tahoma" w:eastAsia="Times New Roman" w:hAnsi="Tahoma" w:cs="Tahoma"/>
          <w:sz w:val="20"/>
          <w:szCs w:val="20"/>
          <w:lang w:val="es-ES" w:eastAsia="es-ES"/>
        </w:rPr>
        <w:t>2</w:t>
      </w:r>
      <w:bookmarkStart w:id="0" w:name="_GoBack"/>
      <w:bookmarkEnd w:id="0"/>
      <w:r w:rsidRPr="00D64911">
        <w:rPr>
          <w:rFonts w:ascii="Tahoma" w:eastAsia="Times New Roman" w:hAnsi="Tahoma" w:cs="Tahoma"/>
          <w:sz w:val="20"/>
          <w:szCs w:val="20"/>
          <w:lang w:val="es-ES" w:eastAsia="es-ES"/>
        </w:rPr>
        <w:t>. A</w:t>
      </w:r>
      <w:r w:rsidR="00DA308F">
        <w:rPr>
          <w:rFonts w:ascii="Tahoma" w:eastAsia="Times New Roman" w:hAnsi="Tahoma" w:cs="Tahoma"/>
          <w:sz w:val="20"/>
          <w:szCs w:val="20"/>
          <w:lang w:val="es-ES" w:eastAsia="es-ES"/>
        </w:rPr>
        <w:t>l finalizar el p</w:t>
      </w:r>
      <w:r w:rsidRPr="00D64911">
        <w:rPr>
          <w:rFonts w:ascii="Tahoma" w:eastAsia="Times New Roman" w:hAnsi="Tahoma" w:cs="Tahoma"/>
          <w:sz w:val="20"/>
          <w:szCs w:val="20"/>
          <w:lang w:val="es-ES" w:eastAsia="es-ES"/>
        </w:rPr>
        <w:t>lan de trabajo</w:t>
      </w:r>
      <w:r w:rsidR="001730DB">
        <w:rPr>
          <w:rFonts w:ascii="Tahoma" w:eastAsia="Times New Roman" w:hAnsi="Tahoma" w:cs="Tahoma"/>
          <w:sz w:val="20"/>
          <w:szCs w:val="20"/>
          <w:lang w:val="es-ES" w:eastAsia="es-ES"/>
        </w:rPr>
        <w:t>,</w:t>
      </w:r>
      <w:r w:rsidRPr="00D6491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se debe realizar el cierre administrativo, con el informe académico </w:t>
      </w:r>
      <w:r w:rsidR="00D60797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y financiero </w:t>
      </w:r>
      <w:r w:rsidRPr="00D64911">
        <w:rPr>
          <w:rFonts w:ascii="Tahoma" w:eastAsia="Times New Roman" w:hAnsi="Tahoma" w:cs="Tahoma"/>
          <w:sz w:val="20"/>
          <w:szCs w:val="20"/>
          <w:lang w:val="es-ES" w:eastAsia="es-ES"/>
        </w:rPr>
        <w:t>dirigido a la Oficina de Fomento y Apoyo a la Investigación.</w:t>
      </w:r>
    </w:p>
    <w:p w:rsidR="00D64911" w:rsidRPr="00D64911" w:rsidRDefault="00D64911" w:rsidP="00D64911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4"/>
          <w:szCs w:val="24"/>
        </w:rPr>
      </w:pPr>
    </w:p>
    <w:p w:rsidR="002B2765" w:rsidRDefault="002B2765" w:rsidP="00851E61">
      <w:pPr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>Contacto</w:t>
      </w:r>
      <w:r w:rsidR="004B4BFB" w:rsidRPr="002B2765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: </w:t>
      </w: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Martha C. Vasquez </w:t>
      </w:r>
    </w:p>
    <w:p w:rsidR="0012384E" w:rsidRDefault="002B2765" w:rsidP="00851E61">
      <w:pPr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e-mail: </w:t>
      </w:r>
      <w:hyperlink r:id="rId10" w:history="1">
        <w:r w:rsidR="000D1A73" w:rsidRPr="002B2765">
          <w:rPr>
            <w:rFonts w:ascii="Tahoma" w:eastAsia="Times New Roman" w:hAnsi="Tahoma" w:cs="Tahoma"/>
            <w:sz w:val="20"/>
            <w:szCs w:val="20"/>
            <w:lang w:val="es-ES" w:eastAsia="es-ES"/>
          </w:rPr>
          <w:t>mvasquez@uao.edu.co</w:t>
        </w:r>
      </w:hyperlink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</w:t>
      </w:r>
    </w:p>
    <w:p w:rsidR="001C4CFF" w:rsidRDefault="001C4CFF" w:rsidP="00851E61">
      <w:pPr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1C4CFF" w:rsidRPr="00D16959" w:rsidRDefault="001C4CFF" w:rsidP="00706DDE">
      <w:pPr>
        <w:pStyle w:val="Prrafodelista"/>
        <w:jc w:val="both"/>
        <w:rPr>
          <w:rFonts w:cs="Calibri"/>
          <w:color w:val="C00000"/>
          <w:sz w:val="24"/>
          <w:szCs w:val="24"/>
          <w:highlight w:val="cyan"/>
        </w:rPr>
      </w:pPr>
      <w:r w:rsidRPr="00D16959">
        <w:rPr>
          <w:rFonts w:cs="Calibri"/>
          <w:color w:val="C00000"/>
          <w:sz w:val="24"/>
          <w:szCs w:val="24"/>
        </w:rPr>
        <w:t xml:space="preserve">. </w:t>
      </w:r>
    </w:p>
    <w:p w:rsidR="001C4CFF" w:rsidRPr="001C4CFF" w:rsidRDefault="001C4CFF" w:rsidP="00851E61">
      <w:pPr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sectPr w:rsidR="001C4CFF" w:rsidRPr="001C4CFF" w:rsidSect="007A6C94">
      <w:footerReference w:type="default" r:id="rId11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57C" w:rsidRDefault="0012557C" w:rsidP="00F95963">
      <w:pPr>
        <w:spacing w:after="0" w:line="240" w:lineRule="auto"/>
      </w:pPr>
      <w:r>
        <w:separator/>
      </w:r>
    </w:p>
  </w:endnote>
  <w:endnote w:type="continuationSeparator" w:id="0">
    <w:p w:rsidR="0012557C" w:rsidRDefault="0012557C" w:rsidP="00F95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119723"/>
      <w:docPartObj>
        <w:docPartGallery w:val="Page Numbers (Bottom of Page)"/>
        <w:docPartUnique/>
      </w:docPartObj>
    </w:sdtPr>
    <w:sdtEndPr/>
    <w:sdtContent>
      <w:p w:rsidR="007667B9" w:rsidRDefault="007667B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D90" w:rsidRPr="00D25D90">
          <w:rPr>
            <w:noProof/>
            <w:lang w:val="es-ES"/>
          </w:rPr>
          <w:t>2</w:t>
        </w:r>
        <w:r>
          <w:fldChar w:fldCharType="end"/>
        </w:r>
      </w:p>
    </w:sdtContent>
  </w:sdt>
  <w:p w:rsidR="007667B9" w:rsidRDefault="007667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57C" w:rsidRDefault="0012557C" w:rsidP="00F95963">
      <w:pPr>
        <w:spacing w:after="0" w:line="240" w:lineRule="auto"/>
      </w:pPr>
      <w:r>
        <w:separator/>
      </w:r>
    </w:p>
  </w:footnote>
  <w:footnote w:type="continuationSeparator" w:id="0">
    <w:p w:rsidR="0012557C" w:rsidRDefault="0012557C" w:rsidP="00F95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1787E"/>
    <w:multiLevelType w:val="hybridMultilevel"/>
    <w:tmpl w:val="BC2E9F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D1315"/>
    <w:multiLevelType w:val="hybridMultilevel"/>
    <w:tmpl w:val="8CF8A0F2"/>
    <w:lvl w:ilvl="0" w:tplc="0C0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164811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9200EB"/>
    <w:multiLevelType w:val="hybridMultilevel"/>
    <w:tmpl w:val="C9F8E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76540"/>
    <w:multiLevelType w:val="hybridMultilevel"/>
    <w:tmpl w:val="C5B0ABA8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B7E70D0"/>
    <w:multiLevelType w:val="hybridMultilevel"/>
    <w:tmpl w:val="E9D6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121CF"/>
    <w:multiLevelType w:val="hybridMultilevel"/>
    <w:tmpl w:val="75781F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37"/>
    <w:rsid w:val="0000063F"/>
    <w:rsid w:val="00041A8F"/>
    <w:rsid w:val="00047556"/>
    <w:rsid w:val="00053F09"/>
    <w:rsid w:val="00071870"/>
    <w:rsid w:val="0007190C"/>
    <w:rsid w:val="000D1A73"/>
    <w:rsid w:val="000E51D2"/>
    <w:rsid w:val="000F43F5"/>
    <w:rsid w:val="000F6837"/>
    <w:rsid w:val="001175E4"/>
    <w:rsid w:val="001210F7"/>
    <w:rsid w:val="0012212B"/>
    <w:rsid w:val="0012384E"/>
    <w:rsid w:val="0012557C"/>
    <w:rsid w:val="001272B3"/>
    <w:rsid w:val="00142DF4"/>
    <w:rsid w:val="00146759"/>
    <w:rsid w:val="00146DD1"/>
    <w:rsid w:val="00164424"/>
    <w:rsid w:val="001666F4"/>
    <w:rsid w:val="001730DB"/>
    <w:rsid w:val="001A58ED"/>
    <w:rsid w:val="001B54F4"/>
    <w:rsid w:val="001C158D"/>
    <w:rsid w:val="001C4CFF"/>
    <w:rsid w:val="00226397"/>
    <w:rsid w:val="00242009"/>
    <w:rsid w:val="00242BB9"/>
    <w:rsid w:val="00253A12"/>
    <w:rsid w:val="00255B1B"/>
    <w:rsid w:val="0026715C"/>
    <w:rsid w:val="002712A6"/>
    <w:rsid w:val="00271851"/>
    <w:rsid w:val="00282648"/>
    <w:rsid w:val="002A17F3"/>
    <w:rsid w:val="002A4D36"/>
    <w:rsid w:val="002B2765"/>
    <w:rsid w:val="002C3B83"/>
    <w:rsid w:val="002D2B42"/>
    <w:rsid w:val="002D47DB"/>
    <w:rsid w:val="002E69FA"/>
    <w:rsid w:val="002E74FC"/>
    <w:rsid w:val="002F1C37"/>
    <w:rsid w:val="002F2497"/>
    <w:rsid w:val="002F545D"/>
    <w:rsid w:val="00305663"/>
    <w:rsid w:val="0032435E"/>
    <w:rsid w:val="00332EDA"/>
    <w:rsid w:val="00336446"/>
    <w:rsid w:val="00360024"/>
    <w:rsid w:val="00387D76"/>
    <w:rsid w:val="003957C0"/>
    <w:rsid w:val="00396C15"/>
    <w:rsid w:val="003A16BE"/>
    <w:rsid w:val="003C4DB6"/>
    <w:rsid w:val="003F1FAD"/>
    <w:rsid w:val="00406534"/>
    <w:rsid w:val="00424440"/>
    <w:rsid w:val="00463EA8"/>
    <w:rsid w:val="00485303"/>
    <w:rsid w:val="00486BA0"/>
    <w:rsid w:val="004B4BFB"/>
    <w:rsid w:val="004E0856"/>
    <w:rsid w:val="004E3C84"/>
    <w:rsid w:val="004F3809"/>
    <w:rsid w:val="005038DF"/>
    <w:rsid w:val="00505819"/>
    <w:rsid w:val="005104F1"/>
    <w:rsid w:val="00511B3E"/>
    <w:rsid w:val="005175DE"/>
    <w:rsid w:val="005477FA"/>
    <w:rsid w:val="00553C91"/>
    <w:rsid w:val="00567F0F"/>
    <w:rsid w:val="005A0196"/>
    <w:rsid w:val="005A195A"/>
    <w:rsid w:val="005A1F02"/>
    <w:rsid w:val="005B3FBD"/>
    <w:rsid w:val="005C7E19"/>
    <w:rsid w:val="005D2336"/>
    <w:rsid w:val="00607D41"/>
    <w:rsid w:val="00613CCB"/>
    <w:rsid w:val="006646F1"/>
    <w:rsid w:val="006704B5"/>
    <w:rsid w:val="006851EF"/>
    <w:rsid w:val="006964B3"/>
    <w:rsid w:val="006C1927"/>
    <w:rsid w:val="006C2C68"/>
    <w:rsid w:val="006C42A7"/>
    <w:rsid w:val="006D41A0"/>
    <w:rsid w:val="006E2163"/>
    <w:rsid w:val="006E23B6"/>
    <w:rsid w:val="006E51FA"/>
    <w:rsid w:val="006E5FBE"/>
    <w:rsid w:val="006F3D2B"/>
    <w:rsid w:val="006F4131"/>
    <w:rsid w:val="006F5A5F"/>
    <w:rsid w:val="00706DDE"/>
    <w:rsid w:val="00720518"/>
    <w:rsid w:val="00723199"/>
    <w:rsid w:val="00741146"/>
    <w:rsid w:val="007504E1"/>
    <w:rsid w:val="0076084B"/>
    <w:rsid w:val="007667B9"/>
    <w:rsid w:val="00767047"/>
    <w:rsid w:val="00770DC5"/>
    <w:rsid w:val="007750E0"/>
    <w:rsid w:val="00780B32"/>
    <w:rsid w:val="0079490E"/>
    <w:rsid w:val="0079713C"/>
    <w:rsid w:val="007A3328"/>
    <w:rsid w:val="007A6C94"/>
    <w:rsid w:val="007A794D"/>
    <w:rsid w:val="007C2957"/>
    <w:rsid w:val="007E78D9"/>
    <w:rsid w:val="007F1074"/>
    <w:rsid w:val="007F2479"/>
    <w:rsid w:val="00813B1A"/>
    <w:rsid w:val="0081745D"/>
    <w:rsid w:val="00822E0C"/>
    <w:rsid w:val="00833B31"/>
    <w:rsid w:val="00833EA0"/>
    <w:rsid w:val="008426B0"/>
    <w:rsid w:val="00843868"/>
    <w:rsid w:val="00851E61"/>
    <w:rsid w:val="008566E6"/>
    <w:rsid w:val="0086365C"/>
    <w:rsid w:val="00887B20"/>
    <w:rsid w:val="008935F2"/>
    <w:rsid w:val="00893638"/>
    <w:rsid w:val="008C26DC"/>
    <w:rsid w:val="00922E78"/>
    <w:rsid w:val="00953C6B"/>
    <w:rsid w:val="00956DA2"/>
    <w:rsid w:val="009748C3"/>
    <w:rsid w:val="00975394"/>
    <w:rsid w:val="00982554"/>
    <w:rsid w:val="00993E3D"/>
    <w:rsid w:val="009A039C"/>
    <w:rsid w:val="009A256D"/>
    <w:rsid w:val="009D78B0"/>
    <w:rsid w:val="00A128CD"/>
    <w:rsid w:val="00A21296"/>
    <w:rsid w:val="00A345C1"/>
    <w:rsid w:val="00A40560"/>
    <w:rsid w:val="00A45B12"/>
    <w:rsid w:val="00A61804"/>
    <w:rsid w:val="00A73250"/>
    <w:rsid w:val="00A86DCB"/>
    <w:rsid w:val="00A92C0C"/>
    <w:rsid w:val="00AA4416"/>
    <w:rsid w:val="00AC6ADB"/>
    <w:rsid w:val="00AD1902"/>
    <w:rsid w:val="00AE3B18"/>
    <w:rsid w:val="00AF2D5E"/>
    <w:rsid w:val="00B019B4"/>
    <w:rsid w:val="00B078B1"/>
    <w:rsid w:val="00B07C92"/>
    <w:rsid w:val="00B2451C"/>
    <w:rsid w:val="00B5170E"/>
    <w:rsid w:val="00B530D7"/>
    <w:rsid w:val="00B56724"/>
    <w:rsid w:val="00B80445"/>
    <w:rsid w:val="00BA2DA9"/>
    <w:rsid w:val="00BB6010"/>
    <w:rsid w:val="00BB7702"/>
    <w:rsid w:val="00BC58E8"/>
    <w:rsid w:val="00BD783B"/>
    <w:rsid w:val="00BE50BE"/>
    <w:rsid w:val="00BF77E6"/>
    <w:rsid w:val="00C06D3B"/>
    <w:rsid w:val="00C20534"/>
    <w:rsid w:val="00C2216E"/>
    <w:rsid w:val="00C3276F"/>
    <w:rsid w:val="00C342D2"/>
    <w:rsid w:val="00C361B5"/>
    <w:rsid w:val="00C368F4"/>
    <w:rsid w:val="00C44152"/>
    <w:rsid w:val="00C50768"/>
    <w:rsid w:val="00C60EFA"/>
    <w:rsid w:val="00C87502"/>
    <w:rsid w:val="00C96CC1"/>
    <w:rsid w:val="00CD16FE"/>
    <w:rsid w:val="00CE0792"/>
    <w:rsid w:val="00CE68C8"/>
    <w:rsid w:val="00CF474D"/>
    <w:rsid w:val="00D02E9D"/>
    <w:rsid w:val="00D25D90"/>
    <w:rsid w:val="00D5767F"/>
    <w:rsid w:val="00D60132"/>
    <w:rsid w:val="00D60797"/>
    <w:rsid w:val="00D64911"/>
    <w:rsid w:val="00D67186"/>
    <w:rsid w:val="00D85FE8"/>
    <w:rsid w:val="00D8699B"/>
    <w:rsid w:val="00D877D2"/>
    <w:rsid w:val="00D90826"/>
    <w:rsid w:val="00DA21A4"/>
    <w:rsid w:val="00DA308F"/>
    <w:rsid w:val="00DB0150"/>
    <w:rsid w:val="00DD61AA"/>
    <w:rsid w:val="00DE500E"/>
    <w:rsid w:val="00DF0BA2"/>
    <w:rsid w:val="00DF6D07"/>
    <w:rsid w:val="00E00BFC"/>
    <w:rsid w:val="00E040AC"/>
    <w:rsid w:val="00E04780"/>
    <w:rsid w:val="00E10EA0"/>
    <w:rsid w:val="00E21A92"/>
    <w:rsid w:val="00E269AA"/>
    <w:rsid w:val="00E46614"/>
    <w:rsid w:val="00E503E6"/>
    <w:rsid w:val="00E90EFB"/>
    <w:rsid w:val="00E939F5"/>
    <w:rsid w:val="00EA5332"/>
    <w:rsid w:val="00EB245B"/>
    <w:rsid w:val="00F01981"/>
    <w:rsid w:val="00F02A57"/>
    <w:rsid w:val="00F05FDB"/>
    <w:rsid w:val="00F253AF"/>
    <w:rsid w:val="00F51E3F"/>
    <w:rsid w:val="00F5533F"/>
    <w:rsid w:val="00F84B44"/>
    <w:rsid w:val="00F95963"/>
    <w:rsid w:val="00F96799"/>
    <w:rsid w:val="00FA67FA"/>
    <w:rsid w:val="00FD2A93"/>
    <w:rsid w:val="00FE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F9596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9596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95963"/>
    <w:rPr>
      <w:vertAlign w:val="superscript"/>
    </w:rPr>
  </w:style>
  <w:style w:type="paragraph" w:styleId="Prrafodelista">
    <w:name w:val="List Paragraph"/>
    <w:basedOn w:val="Normal"/>
    <w:uiPriority w:val="34"/>
    <w:qFormat/>
    <w:rsid w:val="00F9596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1A7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0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503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03E6"/>
  </w:style>
  <w:style w:type="paragraph" w:styleId="Piedepgina">
    <w:name w:val="footer"/>
    <w:basedOn w:val="Normal"/>
    <w:link w:val="PiedepginaCar"/>
    <w:uiPriority w:val="99"/>
    <w:unhideWhenUsed/>
    <w:rsid w:val="00E503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3E6"/>
  </w:style>
  <w:style w:type="character" w:styleId="Refdecomentario">
    <w:name w:val="annotation reference"/>
    <w:basedOn w:val="Fuentedeprrafopredeter"/>
    <w:uiPriority w:val="99"/>
    <w:semiHidden/>
    <w:unhideWhenUsed/>
    <w:rsid w:val="008566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66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66E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6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6E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F9596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9596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95963"/>
    <w:rPr>
      <w:vertAlign w:val="superscript"/>
    </w:rPr>
  </w:style>
  <w:style w:type="paragraph" w:styleId="Prrafodelista">
    <w:name w:val="List Paragraph"/>
    <w:basedOn w:val="Normal"/>
    <w:uiPriority w:val="34"/>
    <w:qFormat/>
    <w:rsid w:val="00F9596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1A7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0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503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03E6"/>
  </w:style>
  <w:style w:type="paragraph" w:styleId="Piedepgina">
    <w:name w:val="footer"/>
    <w:basedOn w:val="Normal"/>
    <w:link w:val="PiedepginaCar"/>
    <w:uiPriority w:val="99"/>
    <w:unhideWhenUsed/>
    <w:rsid w:val="00E503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3E6"/>
  </w:style>
  <w:style w:type="character" w:styleId="Refdecomentario">
    <w:name w:val="annotation reference"/>
    <w:basedOn w:val="Fuentedeprrafopredeter"/>
    <w:uiPriority w:val="99"/>
    <w:semiHidden/>
    <w:unhideWhenUsed/>
    <w:rsid w:val="008566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66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66E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6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6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vasquez@uao.edu.c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5117C-8AF9-43DF-A60E-B55623C1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723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Cecilia Vasquez Olave</dc:creator>
  <cp:lastModifiedBy>Martha Cecilia Vasquez Olave</cp:lastModifiedBy>
  <cp:revision>41</cp:revision>
  <dcterms:created xsi:type="dcterms:W3CDTF">2017-06-15T14:11:00Z</dcterms:created>
  <dcterms:modified xsi:type="dcterms:W3CDTF">2018-12-11T19:59:00Z</dcterms:modified>
</cp:coreProperties>
</file>